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96E8" w14:textId="77777777" w:rsidR="00D84418" w:rsidRDefault="00D84418" w:rsidP="00D84418">
      <w:pPr>
        <w:pStyle w:val="berschrift2"/>
      </w:pPr>
      <w:r>
        <w:t xml:space="preserve">Publikationen: </w:t>
      </w:r>
    </w:p>
    <w:p w14:paraId="7774FC0C" w14:textId="77777777" w:rsidR="00D84418" w:rsidRPr="00015BE5" w:rsidRDefault="00D84418" w:rsidP="00D84418">
      <w:pPr>
        <w:pStyle w:val="berschrift3"/>
      </w:pPr>
      <w:proofErr w:type="gramStart"/>
      <w:r w:rsidRPr="00015BE5">
        <w:t>Monographien</w:t>
      </w:r>
      <w:proofErr w:type="gramEnd"/>
      <w:r w:rsidRPr="00015BE5">
        <w:t xml:space="preserve"> und Herausgeberschaften</w:t>
      </w:r>
    </w:p>
    <w:p w14:paraId="5DF65A49" w14:textId="77777777" w:rsidR="00D84418" w:rsidRPr="00015BE5" w:rsidRDefault="00D84418" w:rsidP="00D84418">
      <w:pPr>
        <w:pStyle w:val="Listenabsatz"/>
        <w:numPr>
          <w:ilvl w:val="0"/>
          <w:numId w:val="2"/>
        </w:numPr>
        <w:spacing w:before="80"/>
        <w:jc w:val="both"/>
        <w:rPr>
          <w:szCs w:val="22"/>
        </w:rPr>
      </w:pPr>
      <w:r w:rsidRPr="003A2ABA">
        <w:rPr>
          <w:szCs w:val="22"/>
          <w:lang w:val="en-US"/>
        </w:rPr>
        <w:t xml:space="preserve">N. Toma – F. </w:t>
      </w:r>
      <w:proofErr w:type="spellStart"/>
      <w:r w:rsidRPr="003A2ABA">
        <w:rPr>
          <w:szCs w:val="22"/>
          <w:lang w:val="en-US"/>
        </w:rPr>
        <w:t>Rumscheid</w:t>
      </w:r>
      <w:proofErr w:type="spellEnd"/>
      <w:r w:rsidRPr="003A2ABA">
        <w:rPr>
          <w:szCs w:val="22"/>
          <w:lang w:val="en-US"/>
        </w:rPr>
        <w:t xml:space="preserve"> (Hg.) </w:t>
      </w:r>
      <w:r w:rsidRPr="00933808">
        <w:rPr>
          <w:lang w:eastAsia="de-DE"/>
        </w:rPr>
        <w:t xml:space="preserve">Unfertigkeit in antiker Architektur. Definitionen und Ursachen, Beiträge einer Sektion des 19. internationalen Kongresses für Klassische Archäologie in Köln und Bonn am 23. Mai 2018, </w:t>
      </w:r>
      <w:proofErr w:type="spellStart"/>
      <w:r w:rsidRPr="00933808">
        <w:rPr>
          <w:lang w:eastAsia="de-DE"/>
        </w:rPr>
        <w:t>Beih</w:t>
      </w:r>
      <w:proofErr w:type="spellEnd"/>
      <w:r w:rsidRPr="00933808">
        <w:rPr>
          <w:lang w:eastAsia="de-DE"/>
        </w:rPr>
        <w:t xml:space="preserve">. </w:t>
      </w:r>
      <w:proofErr w:type="spellStart"/>
      <w:r w:rsidRPr="00933808">
        <w:rPr>
          <w:lang w:eastAsia="de-DE"/>
        </w:rPr>
        <w:t>BJb</w:t>
      </w:r>
      <w:proofErr w:type="spellEnd"/>
      <w:r w:rsidRPr="00933808">
        <w:rPr>
          <w:lang w:eastAsia="de-DE"/>
        </w:rPr>
        <w:t xml:space="preserve"> 61 (Darmstadt 2022)</w:t>
      </w:r>
      <w:r w:rsidRPr="00015BE5">
        <w:rPr>
          <w:szCs w:val="22"/>
        </w:rPr>
        <w:t xml:space="preserve">  </w:t>
      </w:r>
    </w:p>
    <w:p w14:paraId="4EF27B02" w14:textId="77777777" w:rsidR="00D84418" w:rsidRPr="00682FDA" w:rsidRDefault="00D84418" w:rsidP="00D84418">
      <w:pPr>
        <w:pStyle w:val="Listenabsatz"/>
        <w:numPr>
          <w:ilvl w:val="0"/>
          <w:numId w:val="2"/>
        </w:numPr>
        <w:spacing w:before="80"/>
        <w:jc w:val="both"/>
        <w:rPr>
          <w:szCs w:val="22"/>
          <w:lang w:val="en-US"/>
        </w:rPr>
      </w:pPr>
      <w:r w:rsidRPr="00015BE5">
        <w:rPr>
          <w:szCs w:val="22"/>
          <w:lang w:val="en-US"/>
        </w:rPr>
        <w:t>V. Apostol – S. B</w:t>
      </w:r>
      <w:proofErr w:type="spellStart"/>
      <w:r w:rsidRPr="00015BE5">
        <w:rPr>
          <w:szCs w:val="22"/>
          <w:lang w:val="ro-RO"/>
        </w:rPr>
        <w:t>âlici</w:t>
      </w:r>
      <w:proofErr w:type="spellEnd"/>
      <w:r w:rsidRPr="00015BE5">
        <w:rPr>
          <w:szCs w:val="22"/>
          <w:lang w:val="ro-RO"/>
        </w:rPr>
        <w:t xml:space="preserve"> </w:t>
      </w:r>
      <w:r w:rsidRPr="00015BE5">
        <w:rPr>
          <w:szCs w:val="22"/>
          <w:lang w:val="en-US"/>
        </w:rPr>
        <w:t xml:space="preserve">– L. </w:t>
      </w:r>
      <w:proofErr w:type="spellStart"/>
      <w:r w:rsidRPr="00015BE5">
        <w:rPr>
          <w:szCs w:val="22"/>
          <w:lang w:val="en-US"/>
        </w:rPr>
        <w:t>Nistor</w:t>
      </w:r>
      <w:proofErr w:type="spellEnd"/>
      <w:r w:rsidRPr="00015BE5">
        <w:rPr>
          <w:szCs w:val="22"/>
          <w:lang w:val="en-US"/>
        </w:rPr>
        <w:t xml:space="preserve"> – N. Toma (Hg.) </w:t>
      </w:r>
      <w:proofErr w:type="spellStart"/>
      <w:r w:rsidRPr="00015BE5">
        <w:rPr>
          <w:szCs w:val="22"/>
          <w:lang w:val="en-US"/>
        </w:rPr>
        <w:t>Arhitectură</w:t>
      </w:r>
      <w:proofErr w:type="spellEnd"/>
      <w:r w:rsidRPr="00015BE5">
        <w:rPr>
          <w:szCs w:val="22"/>
          <w:lang w:val="en-US"/>
        </w:rPr>
        <w:t xml:space="preserve">. </w:t>
      </w:r>
      <w:r w:rsidRPr="00015BE5">
        <w:rPr>
          <w:szCs w:val="22"/>
          <w:lang w:val="it-IT"/>
        </w:rPr>
        <w:t xml:space="preserve">Restaurare. </w:t>
      </w:r>
      <w:proofErr w:type="spellStart"/>
      <w:r w:rsidRPr="00015BE5">
        <w:rPr>
          <w:szCs w:val="22"/>
          <w:lang w:val="it-IT"/>
        </w:rPr>
        <w:t>Arheologie</w:t>
      </w:r>
      <w:proofErr w:type="spellEnd"/>
      <w:r w:rsidRPr="00015BE5">
        <w:rPr>
          <w:szCs w:val="22"/>
          <w:lang w:val="it-IT"/>
        </w:rPr>
        <w:t xml:space="preserve">. </w:t>
      </w:r>
      <w:r>
        <w:rPr>
          <w:szCs w:val="22"/>
          <w:lang w:val="it-IT"/>
        </w:rPr>
        <w:t>I</w:t>
      </w:r>
      <w:r w:rsidRPr="00015BE5">
        <w:rPr>
          <w:szCs w:val="22"/>
          <w:lang w:val="it-IT"/>
        </w:rPr>
        <w:t xml:space="preserve">n honorem Monica </w:t>
      </w:r>
      <w:r w:rsidRPr="00015BE5">
        <w:rPr>
          <w:szCs w:val="22"/>
          <w:lang w:val="ro-RO"/>
        </w:rPr>
        <w:t xml:space="preserve">Mărgineanu-Cârstoiu </w:t>
      </w:r>
      <w:r w:rsidRPr="00015BE5">
        <w:rPr>
          <w:szCs w:val="22"/>
          <w:lang w:val="it-IT"/>
        </w:rPr>
        <w:t>(</w:t>
      </w:r>
      <w:proofErr w:type="spellStart"/>
      <w:r w:rsidRPr="00015BE5">
        <w:rPr>
          <w:szCs w:val="22"/>
          <w:lang w:val="it-IT"/>
        </w:rPr>
        <w:t>Bukarest</w:t>
      </w:r>
      <w:proofErr w:type="spellEnd"/>
      <w:r w:rsidRPr="00015BE5">
        <w:rPr>
          <w:szCs w:val="22"/>
          <w:lang w:val="it-IT"/>
        </w:rPr>
        <w:t xml:space="preserve"> 202</w:t>
      </w:r>
      <w:r>
        <w:rPr>
          <w:szCs w:val="22"/>
          <w:lang w:val="it-IT"/>
        </w:rPr>
        <w:t>1</w:t>
      </w:r>
      <w:r w:rsidRPr="00015BE5">
        <w:rPr>
          <w:szCs w:val="22"/>
          <w:lang w:val="it-IT"/>
        </w:rPr>
        <w:t>)</w:t>
      </w:r>
    </w:p>
    <w:p w14:paraId="4765E96C" w14:textId="77777777" w:rsidR="00D84418" w:rsidRDefault="00D84418" w:rsidP="00D84418">
      <w:pPr>
        <w:pStyle w:val="Listenabsatz"/>
        <w:numPr>
          <w:ilvl w:val="0"/>
          <w:numId w:val="2"/>
        </w:numPr>
        <w:spacing w:before="80"/>
        <w:jc w:val="both"/>
        <w:rPr>
          <w:szCs w:val="22"/>
        </w:rPr>
      </w:pPr>
      <w:r w:rsidRPr="00015BE5">
        <w:rPr>
          <w:bCs/>
          <w:szCs w:val="22"/>
        </w:rPr>
        <w:t>Marmor – Maße – Monumente.</w:t>
      </w:r>
      <w:r w:rsidRPr="00015BE5">
        <w:rPr>
          <w:szCs w:val="22"/>
        </w:rPr>
        <w:t xml:space="preserve"> Vorfertigung, Standardisierung und Massenproduktion marmorner Bauteile in der römischen Kaiserzeit (Wiesbaden 2020)</w:t>
      </w:r>
    </w:p>
    <w:p w14:paraId="2BB8AB14" w14:textId="77777777" w:rsidR="00D84418" w:rsidRPr="00BA35D9" w:rsidRDefault="00D84418" w:rsidP="00D84418">
      <w:pPr>
        <w:pStyle w:val="berschrift3"/>
        <w:rPr>
          <w:szCs w:val="22"/>
        </w:rPr>
      </w:pPr>
      <w:r w:rsidRPr="00015BE5">
        <w:t>Aufsätze und Beiträge</w:t>
      </w:r>
    </w:p>
    <w:p w14:paraId="6687E5BF" w14:textId="77777777" w:rsidR="00D84418" w:rsidRPr="00581062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szCs w:val="22"/>
        </w:rPr>
      </w:pPr>
      <w:r w:rsidRPr="00581062">
        <w:rPr>
          <w:rFonts w:cs="AGaramond-Regular"/>
          <w:szCs w:val="22"/>
        </w:rPr>
        <w:t>Milet, Türkei:</w:t>
      </w:r>
      <w:r w:rsidRPr="00581062">
        <w:rPr>
          <w:rFonts w:ascii="pÔ'B3ò" w:hAnsi="pÔ'B3ò" w:cs="pÔ'B3ò"/>
          <w:sz w:val="32"/>
          <w:szCs w:val="32"/>
        </w:rPr>
        <w:t xml:space="preserve"> </w:t>
      </w:r>
      <w:r w:rsidRPr="00AD6835">
        <w:t>Marmor in Milet der Kaiserzeit. Bericht über die archäometrische Studie. Die Arbeiten der Jahre 2018 bis 2022, DAI e-Forschungsberichte 1/20203</w:t>
      </w:r>
      <w:r>
        <w:t>###</w:t>
      </w:r>
    </w:p>
    <w:p w14:paraId="0685B52B" w14:textId="77777777" w:rsidR="00D84418" w:rsidRPr="00C26A0B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szCs w:val="22"/>
          <w:lang w:val="en-US"/>
        </w:rPr>
      </w:pPr>
      <w:r w:rsidRPr="00355ECF">
        <w:rPr>
          <w:bCs/>
          <w:szCs w:val="22"/>
          <w:lang w:val="en-US"/>
        </w:rPr>
        <w:t>On toolmarks, sequence of carving and labor quantification in Roman stone carving</w:t>
      </w:r>
      <w:r w:rsidRPr="00355ECF">
        <w:rPr>
          <w:rFonts w:cs="AGaramond-Regular"/>
          <w:bCs/>
          <w:szCs w:val="22"/>
          <w:lang w:val="en-US"/>
        </w:rPr>
        <w:t>,</w:t>
      </w:r>
      <w:r w:rsidRPr="00015BE5">
        <w:rPr>
          <w:rFonts w:cs="AGaramond-Regular"/>
          <w:szCs w:val="22"/>
          <w:lang w:val="en-US"/>
        </w:rPr>
        <w:t xml:space="preserve"> in: S. Barker – C. </w:t>
      </w:r>
      <w:proofErr w:type="spellStart"/>
      <w:r w:rsidRPr="00015BE5">
        <w:rPr>
          <w:rFonts w:cs="AGaramond-Regular"/>
          <w:szCs w:val="22"/>
          <w:lang w:val="en-US"/>
        </w:rPr>
        <w:t>Courault</w:t>
      </w:r>
      <w:proofErr w:type="spellEnd"/>
      <w:r w:rsidRPr="00015BE5">
        <w:rPr>
          <w:rFonts w:cs="AGaramond-Regular"/>
          <w:szCs w:val="22"/>
          <w:lang w:val="en-US"/>
        </w:rPr>
        <w:t xml:space="preserve"> – J. Domingo – D. </w:t>
      </w:r>
      <w:proofErr w:type="spellStart"/>
      <w:r w:rsidRPr="00015BE5">
        <w:rPr>
          <w:rFonts w:cs="AGaramond-Regular"/>
          <w:szCs w:val="22"/>
          <w:lang w:val="en-US"/>
        </w:rPr>
        <w:t>Maschek</w:t>
      </w:r>
      <w:proofErr w:type="spellEnd"/>
      <w:r w:rsidRPr="00015BE5">
        <w:rPr>
          <w:rFonts w:cs="AGaramond-Regular"/>
          <w:szCs w:val="22"/>
          <w:lang w:val="en-US"/>
        </w:rPr>
        <w:t xml:space="preserve"> (Hg.), Proceedings of the Conference »From Concept to Monument. Time and Cost of Construction in the Ancient World« </w:t>
      </w:r>
      <w:r>
        <w:rPr>
          <w:rFonts w:cs="AGaramond-Regular"/>
          <w:szCs w:val="22"/>
          <w:lang w:val="en-US"/>
        </w:rPr>
        <w:t>(Oxford 2023), 286–296.</w:t>
      </w:r>
    </w:p>
    <w:p w14:paraId="5283F1DC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szCs w:val="22"/>
        </w:rPr>
      </w:pPr>
      <w:r>
        <w:t>Das Stadion-Osttor in Milet. Unfertigkeit und Effizienzstrategien im kaiserzeitlichen Marmorbau</w:t>
      </w:r>
      <w:r w:rsidRPr="00015BE5">
        <w:rPr>
          <w:szCs w:val="22"/>
        </w:rPr>
        <w:t xml:space="preserve">, in F. </w:t>
      </w:r>
      <w:proofErr w:type="spellStart"/>
      <w:r w:rsidRPr="00015BE5">
        <w:rPr>
          <w:szCs w:val="22"/>
        </w:rPr>
        <w:t>Rumscheid</w:t>
      </w:r>
      <w:proofErr w:type="spellEnd"/>
      <w:r w:rsidRPr="00015BE5">
        <w:rPr>
          <w:szCs w:val="22"/>
        </w:rPr>
        <w:t xml:space="preserve"> – N. Toma (</w:t>
      </w:r>
      <w:proofErr w:type="spellStart"/>
      <w:r w:rsidRPr="00015BE5">
        <w:rPr>
          <w:szCs w:val="22"/>
        </w:rPr>
        <w:t>Hg</w:t>
      </w:r>
      <w:proofErr w:type="spellEnd"/>
      <w:r w:rsidRPr="00015BE5">
        <w:rPr>
          <w:szCs w:val="22"/>
        </w:rPr>
        <w:t xml:space="preserve">.), </w:t>
      </w:r>
      <w:r>
        <w:rPr>
          <w:szCs w:val="22"/>
        </w:rPr>
        <w:t>U</w:t>
      </w:r>
      <w:r w:rsidRPr="00933808">
        <w:rPr>
          <w:lang w:eastAsia="de-DE"/>
        </w:rPr>
        <w:t>nfertigkeit in antiker Architektur. Definitionen und Ursachen</w:t>
      </w:r>
      <w:r>
        <w:rPr>
          <w:lang w:eastAsia="de-DE"/>
        </w:rPr>
        <w:t xml:space="preserve"> (</w:t>
      </w:r>
      <w:r w:rsidRPr="00933808">
        <w:rPr>
          <w:lang w:eastAsia="de-DE"/>
        </w:rPr>
        <w:t>Darmstadt 2022)</w:t>
      </w:r>
      <w:r>
        <w:rPr>
          <w:lang w:eastAsia="de-DE"/>
        </w:rPr>
        <w:t xml:space="preserve">, 103–134. </w:t>
      </w:r>
    </w:p>
    <w:p w14:paraId="2AE26A74" w14:textId="77777777" w:rsidR="00D84418" w:rsidRPr="00B41E39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color w:val="000000" w:themeColor="text1"/>
          <w:szCs w:val="22"/>
        </w:rPr>
      </w:pPr>
      <w:r w:rsidRPr="00355ECF">
        <w:rPr>
          <w:color w:val="000000" w:themeColor="text1"/>
          <w:szCs w:val="22"/>
        </w:rPr>
        <w:t xml:space="preserve">Geglättet oder gesägt? Werkzeugspuren und die Rekonstruktion antiker Bauprozesse, in: V. </w:t>
      </w:r>
      <w:proofErr w:type="spellStart"/>
      <w:r w:rsidRPr="00355ECF">
        <w:rPr>
          <w:color w:val="000000" w:themeColor="text1"/>
          <w:szCs w:val="22"/>
        </w:rPr>
        <w:t>Apostol</w:t>
      </w:r>
      <w:proofErr w:type="spellEnd"/>
      <w:r w:rsidRPr="00355ECF">
        <w:rPr>
          <w:color w:val="000000" w:themeColor="text1"/>
          <w:szCs w:val="22"/>
        </w:rPr>
        <w:t xml:space="preserve"> – S. B</w:t>
      </w:r>
      <w:proofErr w:type="spellStart"/>
      <w:r w:rsidRPr="00355ECF">
        <w:rPr>
          <w:color w:val="000000" w:themeColor="text1"/>
          <w:szCs w:val="22"/>
          <w:lang w:val="ro-RO"/>
        </w:rPr>
        <w:t>âlici</w:t>
      </w:r>
      <w:proofErr w:type="spellEnd"/>
      <w:r w:rsidRPr="00355ECF">
        <w:rPr>
          <w:color w:val="000000" w:themeColor="text1"/>
          <w:szCs w:val="22"/>
          <w:lang w:val="ro-RO"/>
        </w:rPr>
        <w:t xml:space="preserve"> </w:t>
      </w:r>
      <w:r w:rsidRPr="00355ECF">
        <w:rPr>
          <w:color w:val="000000" w:themeColor="text1"/>
          <w:szCs w:val="22"/>
        </w:rPr>
        <w:t xml:space="preserve">– L. </w:t>
      </w:r>
      <w:proofErr w:type="spellStart"/>
      <w:r w:rsidRPr="00355ECF">
        <w:rPr>
          <w:color w:val="000000" w:themeColor="text1"/>
          <w:szCs w:val="22"/>
        </w:rPr>
        <w:t>Nistor</w:t>
      </w:r>
      <w:proofErr w:type="spellEnd"/>
      <w:r w:rsidRPr="00355ECF">
        <w:rPr>
          <w:color w:val="000000" w:themeColor="text1"/>
          <w:szCs w:val="22"/>
        </w:rPr>
        <w:t xml:space="preserve"> – N. Toma (</w:t>
      </w:r>
      <w:proofErr w:type="spellStart"/>
      <w:r w:rsidRPr="00355ECF">
        <w:rPr>
          <w:color w:val="000000" w:themeColor="text1"/>
          <w:szCs w:val="22"/>
        </w:rPr>
        <w:t>Hg</w:t>
      </w:r>
      <w:proofErr w:type="spellEnd"/>
      <w:r w:rsidRPr="00355ECF">
        <w:rPr>
          <w:color w:val="000000" w:themeColor="text1"/>
          <w:szCs w:val="22"/>
        </w:rPr>
        <w:t xml:space="preserve">.) </w:t>
      </w:r>
      <w:proofErr w:type="spellStart"/>
      <w:r w:rsidRPr="00355ECF">
        <w:rPr>
          <w:color w:val="000000" w:themeColor="text1"/>
          <w:szCs w:val="22"/>
        </w:rPr>
        <w:t>Arhitectură</w:t>
      </w:r>
      <w:proofErr w:type="spellEnd"/>
      <w:r w:rsidRPr="00355ECF">
        <w:rPr>
          <w:color w:val="000000" w:themeColor="text1"/>
          <w:szCs w:val="22"/>
        </w:rPr>
        <w:t xml:space="preserve">. </w:t>
      </w:r>
      <w:proofErr w:type="spellStart"/>
      <w:r w:rsidRPr="00355ECF">
        <w:rPr>
          <w:color w:val="000000" w:themeColor="text1"/>
          <w:szCs w:val="22"/>
        </w:rPr>
        <w:t>Restaurare</w:t>
      </w:r>
      <w:proofErr w:type="spellEnd"/>
      <w:r w:rsidRPr="00355ECF">
        <w:rPr>
          <w:color w:val="000000" w:themeColor="text1"/>
          <w:szCs w:val="22"/>
        </w:rPr>
        <w:t xml:space="preserve">. </w:t>
      </w:r>
      <w:proofErr w:type="spellStart"/>
      <w:r w:rsidRPr="00355ECF">
        <w:rPr>
          <w:color w:val="000000" w:themeColor="text1"/>
          <w:szCs w:val="22"/>
        </w:rPr>
        <w:t>Arheologie</w:t>
      </w:r>
      <w:proofErr w:type="spellEnd"/>
      <w:r w:rsidRPr="00355ECF">
        <w:rPr>
          <w:color w:val="000000" w:themeColor="text1"/>
          <w:szCs w:val="22"/>
        </w:rPr>
        <w:t xml:space="preserve">. In honorem Monica </w:t>
      </w:r>
      <w:r w:rsidRPr="00355ECF">
        <w:rPr>
          <w:color w:val="000000" w:themeColor="text1"/>
          <w:szCs w:val="22"/>
          <w:lang w:val="ro-RO"/>
        </w:rPr>
        <w:t>Mărgineanu-Cârstoiu</w:t>
      </w:r>
      <w:r w:rsidRPr="00355ECF">
        <w:rPr>
          <w:color w:val="000000" w:themeColor="text1"/>
          <w:szCs w:val="22"/>
        </w:rPr>
        <w:t xml:space="preserve"> </w:t>
      </w:r>
      <w:r w:rsidRPr="00355ECF">
        <w:rPr>
          <w:color w:val="000000" w:themeColor="text1"/>
          <w:szCs w:val="22"/>
          <w:lang w:val="it-IT"/>
        </w:rPr>
        <w:t>(</w:t>
      </w:r>
      <w:proofErr w:type="spellStart"/>
      <w:r w:rsidRPr="00355ECF">
        <w:rPr>
          <w:color w:val="000000" w:themeColor="text1"/>
          <w:szCs w:val="22"/>
          <w:lang w:val="it-IT"/>
        </w:rPr>
        <w:t>Bukarest</w:t>
      </w:r>
      <w:proofErr w:type="spellEnd"/>
      <w:r w:rsidRPr="00355ECF">
        <w:rPr>
          <w:color w:val="000000" w:themeColor="text1"/>
          <w:szCs w:val="22"/>
          <w:lang w:val="it-IT"/>
        </w:rPr>
        <w:t xml:space="preserve"> 202</w:t>
      </w:r>
      <w:r>
        <w:rPr>
          <w:color w:val="000000" w:themeColor="text1"/>
          <w:szCs w:val="22"/>
          <w:lang w:val="it-IT"/>
        </w:rPr>
        <w:t>1</w:t>
      </w:r>
      <w:r w:rsidRPr="00355ECF">
        <w:rPr>
          <w:color w:val="000000" w:themeColor="text1"/>
          <w:szCs w:val="22"/>
          <w:lang w:val="it-IT"/>
        </w:rPr>
        <w:t>)</w:t>
      </w:r>
      <w:r w:rsidRPr="00355ECF">
        <w:rPr>
          <w:color w:val="000000" w:themeColor="text1"/>
          <w:szCs w:val="22"/>
        </w:rPr>
        <w:t xml:space="preserve"> 41–54</w:t>
      </w:r>
      <w:r>
        <w:rPr>
          <w:color w:val="000000" w:themeColor="text1"/>
          <w:szCs w:val="22"/>
        </w:rPr>
        <w:t>.</w:t>
      </w:r>
    </w:p>
    <w:p w14:paraId="4B1A9C56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szCs w:val="22"/>
        </w:rPr>
      </w:pPr>
      <w:r w:rsidRPr="00015BE5">
        <w:rPr>
          <w:rFonts w:cs="AGaramond-Regular"/>
          <w:szCs w:val="22"/>
        </w:rPr>
        <w:t xml:space="preserve">Milet, Türkei: Marmorprovenienz und bauwirtschaftliche Paradoxe (nach Vorarbeiten 2018, 2019), DAI e-Forschungsberichte 1/2020, 1–7. </w:t>
      </w:r>
    </w:p>
    <w:p w14:paraId="56EC71EC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b/>
          <w:szCs w:val="22"/>
          <w:lang w:val="en-US"/>
        </w:rPr>
      </w:pPr>
      <w:r w:rsidRPr="00015BE5">
        <w:rPr>
          <w:szCs w:val="22"/>
          <w:lang w:val="en-US"/>
        </w:rPr>
        <w:t>Standardization and mass customization of architectural components – New perspectives on the Roman imperial marble construction industry, JRA 31, 2018, 161–191.</w:t>
      </w:r>
    </w:p>
    <w:p w14:paraId="47DB4D0A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b/>
          <w:szCs w:val="22"/>
          <w:lang w:val="en-US"/>
        </w:rPr>
      </w:pPr>
      <w:proofErr w:type="spellStart"/>
      <w:r w:rsidRPr="00015BE5">
        <w:rPr>
          <w:rFonts w:cs="AGaramond-Regular"/>
          <w:szCs w:val="22"/>
          <w:lang w:val="en-GB"/>
        </w:rPr>
        <w:t>Aphrodisias</w:t>
      </w:r>
      <w:proofErr w:type="spellEnd"/>
      <w:r w:rsidRPr="00015BE5">
        <w:rPr>
          <w:rFonts w:cs="AGaramond-Regular"/>
          <w:szCs w:val="22"/>
          <w:lang w:val="en-GB"/>
        </w:rPr>
        <w:t xml:space="preserve"> and the regional marble trade. The case of the </w:t>
      </w:r>
      <w:proofErr w:type="spellStart"/>
      <w:r w:rsidRPr="00015BE5">
        <w:rPr>
          <w:rFonts w:cs="AGaramond-Regular"/>
          <w:i/>
          <w:szCs w:val="22"/>
          <w:lang w:val="en-GB"/>
        </w:rPr>
        <w:t>scaenae</w:t>
      </w:r>
      <w:proofErr w:type="spellEnd"/>
      <w:r w:rsidRPr="00015BE5">
        <w:rPr>
          <w:rFonts w:cs="AGaramond-Regular"/>
          <w:i/>
          <w:szCs w:val="22"/>
          <w:lang w:val="en-GB"/>
        </w:rPr>
        <w:t xml:space="preserve"> frons</w:t>
      </w:r>
      <w:r w:rsidRPr="00015BE5">
        <w:rPr>
          <w:rFonts w:cs="AGaramond-Regular"/>
          <w:szCs w:val="22"/>
          <w:lang w:val="en-GB"/>
        </w:rPr>
        <w:t xml:space="preserve"> of the theatre at Nysa, </w:t>
      </w:r>
      <w:r w:rsidRPr="00015BE5">
        <w:rPr>
          <w:szCs w:val="22"/>
          <w:lang w:val="en-US"/>
        </w:rPr>
        <w:t xml:space="preserve">in: D. M. </w:t>
      </w:r>
      <w:proofErr w:type="spellStart"/>
      <w:r w:rsidRPr="00015BE5">
        <w:rPr>
          <w:szCs w:val="22"/>
          <w:lang w:val="en-US"/>
        </w:rPr>
        <w:t>Poljak</w:t>
      </w:r>
      <w:proofErr w:type="spellEnd"/>
      <w:r w:rsidRPr="00015BE5">
        <w:rPr>
          <w:szCs w:val="22"/>
          <w:lang w:val="en-US"/>
        </w:rPr>
        <w:t xml:space="preserve"> – K. </w:t>
      </w:r>
      <w:proofErr w:type="spellStart"/>
      <w:r w:rsidRPr="00015BE5">
        <w:rPr>
          <w:szCs w:val="22"/>
          <w:lang w:val="en-US"/>
        </w:rPr>
        <w:t>Marasovic</w:t>
      </w:r>
      <w:proofErr w:type="spellEnd"/>
      <w:r w:rsidRPr="00015BE5">
        <w:rPr>
          <w:szCs w:val="22"/>
          <w:lang w:val="en-US"/>
        </w:rPr>
        <w:t xml:space="preserve">, Proceedings of the XI ASMOSIA Conference, Split 2015 </w:t>
      </w:r>
      <w:r w:rsidRPr="00B839FE">
        <w:rPr>
          <w:spacing w:val="-14"/>
          <w:szCs w:val="22"/>
          <w:lang w:val="en-US"/>
        </w:rPr>
        <w:t>(Split 2018) 513–522.</w:t>
      </w:r>
    </w:p>
    <w:p w14:paraId="43275E76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AGaramond-Regular"/>
          <w:b/>
          <w:szCs w:val="22"/>
        </w:rPr>
      </w:pPr>
      <w:proofErr w:type="spellStart"/>
      <w:r w:rsidRPr="00015BE5">
        <w:rPr>
          <w:szCs w:val="22"/>
          <w:lang w:val="ro-RO"/>
        </w:rPr>
        <w:t>Wie</w:t>
      </w:r>
      <w:proofErr w:type="spellEnd"/>
      <w:r w:rsidRPr="00015BE5">
        <w:rPr>
          <w:szCs w:val="22"/>
          <w:lang w:val="ro-RO"/>
        </w:rPr>
        <w:t xml:space="preserve"> </w:t>
      </w:r>
      <w:proofErr w:type="spellStart"/>
      <w:r w:rsidRPr="00015BE5">
        <w:rPr>
          <w:szCs w:val="22"/>
          <w:lang w:val="ro-RO"/>
        </w:rPr>
        <w:t>viel</w:t>
      </w:r>
      <w:proofErr w:type="spellEnd"/>
      <w:r w:rsidRPr="00015BE5">
        <w:rPr>
          <w:szCs w:val="22"/>
          <w:lang w:val="ro-RO"/>
        </w:rPr>
        <w:t xml:space="preserve"> </w:t>
      </w:r>
      <w:proofErr w:type="spellStart"/>
      <w:r w:rsidRPr="00015BE5">
        <w:rPr>
          <w:szCs w:val="22"/>
          <w:lang w:val="ro-RO"/>
        </w:rPr>
        <w:t>Gold</w:t>
      </w:r>
      <w:proofErr w:type="spellEnd"/>
      <w:r w:rsidRPr="00015BE5">
        <w:rPr>
          <w:szCs w:val="22"/>
          <w:lang w:val="ro-RO"/>
        </w:rPr>
        <w:t xml:space="preserve"> ist </w:t>
      </w:r>
      <w:proofErr w:type="spellStart"/>
      <w:r w:rsidRPr="00015BE5">
        <w:rPr>
          <w:szCs w:val="22"/>
          <w:lang w:val="ro-RO"/>
        </w:rPr>
        <w:t>eine</w:t>
      </w:r>
      <w:proofErr w:type="spellEnd"/>
      <w:r w:rsidRPr="00015BE5">
        <w:rPr>
          <w:szCs w:val="22"/>
          <w:lang w:val="ro-RO"/>
        </w:rPr>
        <w:t xml:space="preserve"> </w:t>
      </w:r>
      <w:proofErr w:type="spellStart"/>
      <w:r w:rsidRPr="00015BE5">
        <w:rPr>
          <w:szCs w:val="22"/>
          <w:lang w:val="ro-RO"/>
        </w:rPr>
        <w:t>Bergbaulandscahft</w:t>
      </w:r>
      <w:proofErr w:type="spellEnd"/>
      <w:r w:rsidRPr="00015BE5">
        <w:rPr>
          <w:szCs w:val="22"/>
          <w:lang w:val="ro-RO"/>
        </w:rPr>
        <w:t xml:space="preserve"> </w:t>
      </w:r>
      <w:proofErr w:type="spellStart"/>
      <w:r w:rsidRPr="00015BE5">
        <w:rPr>
          <w:szCs w:val="22"/>
          <w:lang w:val="ro-RO"/>
        </w:rPr>
        <w:t>wert</w:t>
      </w:r>
      <w:proofErr w:type="spellEnd"/>
      <w:r w:rsidRPr="00015BE5">
        <w:rPr>
          <w:szCs w:val="22"/>
          <w:lang w:val="ro-RO"/>
        </w:rPr>
        <w:t xml:space="preserve">? </w:t>
      </w:r>
      <w:proofErr w:type="spellStart"/>
      <w:r w:rsidRPr="00015BE5">
        <w:rPr>
          <w:szCs w:val="22"/>
          <w:lang w:val="ro-RO"/>
        </w:rPr>
        <w:t>Der</w:t>
      </w:r>
      <w:proofErr w:type="spellEnd"/>
      <w:r w:rsidRPr="00015BE5">
        <w:rPr>
          <w:szCs w:val="22"/>
          <w:lang w:val="ro-RO"/>
        </w:rPr>
        <w:t xml:space="preserve"> </w:t>
      </w:r>
      <w:proofErr w:type="spellStart"/>
      <w:r w:rsidRPr="00015BE5">
        <w:rPr>
          <w:szCs w:val="22"/>
          <w:lang w:val="ro-RO"/>
        </w:rPr>
        <w:t>Kampf</w:t>
      </w:r>
      <w:proofErr w:type="spellEnd"/>
      <w:r w:rsidRPr="00015BE5">
        <w:rPr>
          <w:szCs w:val="22"/>
          <w:lang w:val="ro-RO"/>
        </w:rPr>
        <w:t xml:space="preserve"> </w:t>
      </w:r>
      <w:proofErr w:type="spellStart"/>
      <w:r w:rsidRPr="00015BE5">
        <w:rPr>
          <w:szCs w:val="22"/>
          <w:lang w:val="ro-RO"/>
        </w:rPr>
        <w:t>um</w:t>
      </w:r>
      <w:proofErr w:type="spellEnd"/>
      <w:r w:rsidRPr="00015BE5">
        <w:rPr>
          <w:szCs w:val="22"/>
          <w:lang w:val="ro-RO"/>
        </w:rPr>
        <w:t xml:space="preserve"> den </w:t>
      </w:r>
      <w:proofErr w:type="spellStart"/>
      <w:r w:rsidRPr="00015BE5">
        <w:rPr>
          <w:szCs w:val="22"/>
          <w:lang w:val="ro-RO"/>
        </w:rPr>
        <w:t>Erhalt</w:t>
      </w:r>
      <w:proofErr w:type="spellEnd"/>
      <w:r w:rsidRPr="00015BE5">
        <w:rPr>
          <w:szCs w:val="22"/>
          <w:lang w:val="ro-RO"/>
        </w:rPr>
        <w:t xml:space="preserve"> von </w:t>
      </w:r>
      <w:proofErr w:type="spellStart"/>
      <w:r w:rsidRPr="00015BE5">
        <w:rPr>
          <w:szCs w:val="22"/>
        </w:rPr>
        <w:t>Roșia</w:t>
      </w:r>
      <w:proofErr w:type="spellEnd"/>
      <w:r w:rsidRPr="00015BE5">
        <w:rPr>
          <w:szCs w:val="22"/>
        </w:rPr>
        <w:t xml:space="preserve"> </w:t>
      </w:r>
      <w:proofErr w:type="spellStart"/>
      <w:r w:rsidRPr="00015BE5">
        <w:rPr>
          <w:szCs w:val="22"/>
        </w:rPr>
        <w:t>Montană</w:t>
      </w:r>
      <w:proofErr w:type="spellEnd"/>
      <w:r w:rsidRPr="00015BE5">
        <w:rPr>
          <w:szCs w:val="22"/>
        </w:rPr>
        <w:t xml:space="preserve"> (Rumänien), Blickpunkt Archäologie 2/2015, 69–77.</w:t>
      </w:r>
      <w:r>
        <w:rPr>
          <w:szCs w:val="22"/>
        </w:rPr>
        <w:t xml:space="preserve"> (mit </w:t>
      </w:r>
      <w:r w:rsidRPr="00015BE5">
        <w:rPr>
          <w:szCs w:val="22"/>
          <w:lang w:val="ro-RO"/>
        </w:rPr>
        <w:t xml:space="preserve">Ș. </w:t>
      </w:r>
      <w:proofErr w:type="spellStart"/>
      <w:r w:rsidRPr="00015BE5">
        <w:rPr>
          <w:szCs w:val="22"/>
          <w:lang w:val="ro-RO"/>
        </w:rPr>
        <w:t>Bâlici</w:t>
      </w:r>
      <w:proofErr w:type="spellEnd"/>
      <w:r>
        <w:rPr>
          <w:szCs w:val="22"/>
          <w:lang w:val="ro-RO"/>
        </w:rPr>
        <w:t xml:space="preserve">) </w:t>
      </w:r>
    </w:p>
    <w:p w14:paraId="585FA8F0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szCs w:val="22"/>
          <w:lang w:val="en-US"/>
        </w:rPr>
      </w:pPr>
      <w:r w:rsidRPr="00015BE5">
        <w:rPr>
          <w:szCs w:val="22"/>
          <w:lang w:val="en-US"/>
        </w:rPr>
        <w:lastRenderedPageBreak/>
        <w:t>Carving a Corinthian capital. New technical aspects regarding the carving process, in: P. </w:t>
      </w:r>
      <w:proofErr w:type="spellStart"/>
      <w:r w:rsidRPr="00015BE5">
        <w:rPr>
          <w:szCs w:val="22"/>
          <w:lang w:val="en-US"/>
        </w:rPr>
        <w:t>Pensabene</w:t>
      </w:r>
      <w:proofErr w:type="spellEnd"/>
      <w:r w:rsidRPr="00015BE5">
        <w:rPr>
          <w:szCs w:val="22"/>
          <w:lang w:val="en-US"/>
        </w:rPr>
        <w:t xml:space="preserve"> – E. Gasparini (Hg.), Proceedings of the </w:t>
      </w:r>
      <w:proofErr w:type="spellStart"/>
      <w:r w:rsidRPr="00015BE5">
        <w:rPr>
          <w:szCs w:val="22"/>
          <w:lang w:val="en-US"/>
        </w:rPr>
        <w:t>X</w:t>
      </w:r>
      <w:r w:rsidRPr="00015BE5">
        <w:rPr>
          <w:szCs w:val="22"/>
          <w:vertAlign w:val="superscript"/>
          <w:lang w:val="en-US"/>
        </w:rPr>
        <w:t>th</w:t>
      </w:r>
      <w:proofErr w:type="spellEnd"/>
      <w:r w:rsidRPr="00015BE5">
        <w:rPr>
          <w:szCs w:val="22"/>
          <w:lang w:val="en-US"/>
        </w:rPr>
        <w:t xml:space="preserve"> ASMOSIA Conference, Rome, 21</w:t>
      </w:r>
      <w:r w:rsidRPr="00015BE5">
        <w:rPr>
          <w:szCs w:val="22"/>
          <w:vertAlign w:val="superscript"/>
          <w:lang w:val="en-US"/>
        </w:rPr>
        <w:t>st</w:t>
      </w:r>
      <w:r w:rsidRPr="00015BE5">
        <w:rPr>
          <w:szCs w:val="22"/>
          <w:lang w:val="en-US"/>
        </w:rPr>
        <w:t xml:space="preserve"> to 26</w:t>
      </w:r>
      <w:r w:rsidRPr="00015BE5">
        <w:rPr>
          <w:szCs w:val="22"/>
          <w:vertAlign w:val="superscript"/>
          <w:lang w:val="en-US"/>
        </w:rPr>
        <w:t>th</w:t>
      </w:r>
      <w:r w:rsidRPr="00015BE5">
        <w:rPr>
          <w:szCs w:val="22"/>
          <w:lang w:val="en-US"/>
        </w:rPr>
        <w:t xml:space="preserve"> of May 2012 (Rom 2015) 811–821.</w:t>
      </w:r>
    </w:p>
    <w:p w14:paraId="68E0D162" w14:textId="77777777" w:rsidR="00D84418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Courier"/>
          <w:szCs w:val="22"/>
        </w:rPr>
      </w:pPr>
      <w:r w:rsidRPr="00015BE5">
        <w:rPr>
          <w:szCs w:val="22"/>
        </w:rPr>
        <w:t xml:space="preserve">Von Marmorblock über Halbfabrikat zu korinthischem Kapitell. Zur </w:t>
      </w:r>
      <w:proofErr w:type="spellStart"/>
      <w:r w:rsidRPr="00015BE5">
        <w:rPr>
          <w:szCs w:val="22"/>
        </w:rPr>
        <w:t>Kapitellproduktion</w:t>
      </w:r>
      <w:proofErr w:type="spellEnd"/>
      <w:r w:rsidRPr="00015BE5">
        <w:rPr>
          <w:szCs w:val="22"/>
        </w:rPr>
        <w:t xml:space="preserve"> in der Kaiserzeit, in: J. Lipps – D. </w:t>
      </w:r>
      <w:proofErr w:type="spellStart"/>
      <w:r w:rsidRPr="00015BE5">
        <w:rPr>
          <w:szCs w:val="22"/>
        </w:rPr>
        <w:t>Maschek</w:t>
      </w:r>
      <w:proofErr w:type="spellEnd"/>
      <w:r w:rsidRPr="00015BE5">
        <w:rPr>
          <w:szCs w:val="22"/>
        </w:rPr>
        <w:t xml:space="preserve"> (</w:t>
      </w:r>
      <w:proofErr w:type="spellStart"/>
      <w:r w:rsidRPr="00015BE5">
        <w:rPr>
          <w:szCs w:val="22"/>
        </w:rPr>
        <w:t>Hg</w:t>
      </w:r>
      <w:proofErr w:type="spellEnd"/>
      <w:r w:rsidRPr="00015BE5">
        <w:rPr>
          <w:szCs w:val="22"/>
        </w:rPr>
        <w:t xml:space="preserve">.), </w:t>
      </w:r>
      <w:r w:rsidRPr="00015BE5">
        <w:rPr>
          <w:rFonts w:cs="Courier"/>
          <w:szCs w:val="22"/>
        </w:rPr>
        <w:t xml:space="preserve">Antike Bauornamentik: Möglichkeiten und Grenzen ihrer Erforschung (Wiesbaden 2014) 83–98. </w:t>
      </w:r>
    </w:p>
    <w:p w14:paraId="13CD8069" w14:textId="77777777" w:rsidR="00D84418" w:rsidRPr="00F20502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szCs w:val="22"/>
        </w:rPr>
      </w:pPr>
      <w:r w:rsidRPr="00015BE5">
        <w:rPr>
          <w:szCs w:val="22"/>
        </w:rPr>
        <w:t xml:space="preserve">Archäologie und Politik in Rumänien. Der Fall </w:t>
      </w:r>
      <w:proofErr w:type="spellStart"/>
      <w:r w:rsidRPr="00015BE5">
        <w:rPr>
          <w:szCs w:val="22"/>
        </w:rPr>
        <w:t>Roșia</w:t>
      </w:r>
      <w:proofErr w:type="spellEnd"/>
      <w:r w:rsidRPr="00015BE5">
        <w:rPr>
          <w:szCs w:val="22"/>
        </w:rPr>
        <w:t xml:space="preserve"> </w:t>
      </w:r>
      <w:proofErr w:type="spellStart"/>
      <w:r w:rsidRPr="00015BE5">
        <w:rPr>
          <w:szCs w:val="22"/>
        </w:rPr>
        <w:t>Montană</w:t>
      </w:r>
      <w:proofErr w:type="spellEnd"/>
      <w:r w:rsidRPr="00015BE5">
        <w:rPr>
          <w:szCs w:val="22"/>
        </w:rPr>
        <w:t xml:space="preserve">, </w:t>
      </w:r>
      <w:proofErr w:type="spellStart"/>
      <w:r w:rsidRPr="00015BE5">
        <w:rPr>
          <w:szCs w:val="22"/>
        </w:rPr>
        <w:t>DArV</w:t>
      </w:r>
      <w:proofErr w:type="spellEnd"/>
      <w:r w:rsidRPr="00015BE5">
        <w:rPr>
          <w:szCs w:val="22"/>
        </w:rPr>
        <w:t xml:space="preserve"> Mitteilungen 45/2, 2014, 91–97.</w:t>
      </w:r>
    </w:p>
    <w:p w14:paraId="4DC3ED86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Verdana"/>
          <w:bCs/>
          <w:szCs w:val="22"/>
          <w:lang w:val="en-US"/>
        </w:rPr>
      </w:pPr>
      <w:r w:rsidRPr="00370F51">
        <w:rPr>
          <w:rFonts w:cs="AGaramond-Regular"/>
          <w:szCs w:val="22"/>
          <w:lang w:val="en-US"/>
        </w:rPr>
        <w:t xml:space="preserve">Marble trade in Moesia Inferior. </w:t>
      </w:r>
      <w:r w:rsidRPr="00015BE5">
        <w:rPr>
          <w:rFonts w:cs="AGaramond-Regular"/>
          <w:szCs w:val="22"/>
          <w:lang w:val="en-US"/>
        </w:rPr>
        <w:t xml:space="preserve">Its origin and its characteristics. The case of </w:t>
      </w:r>
      <w:proofErr w:type="spellStart"/>
      <w:r w:rsidRPr="00015BE5">
        <w:rPr>
          <w:rFonts w:cs="AGaramond-Regular"/>
          <w:szCs w:val="22"/>
          <w:lang w:val="en-US"/>
        </w:rPr>
        <w:t>Tomis</w:t>
      </w:r>
      <w:proofErr w:type="spellEnd"/>
      <w:r w:rsidRPr="00015BE5">
        <w:rPr>
          <w:rFonts w:cs="AGaramond-Regular"/>
          <w:szCs w:val="22"/>
          <w:lang w:val="en-US"/>
        </w:rPr>
        <w:t xml:space="preserve"> and </w:t>
      </w:r>
      <w:proofErr w:type="spellStart"/>
      <w:r w:rsidRPr="00015BE5">
        <w:rPr>
          <w:rFonts w:cs="AGaramond-Regular"/>
          <w:szCs w:val="22"/>
          <w:lang w:val="en-US"/>
        </w:rPr>
        <w:t>Odessos</w:t>
      </w:r>
      <w:proofErr w:type="spellEnd"/>
      <w:r w:rsidRPr="00015BE5">
        <w:rPr>
          <w:rFonts w:cs="Verdana"/>
          <w:szCs w:val="22"/>
          <w:lang w:val="en-US"/>
        </w:rPr>
        <w:t xml:space="preserve">, in: A. Gutiérrez – P. </w:t>
      </w:r>
      <w:proofErr w:type="spellStart"/>
      <w:r w:rsidRPr="00015BE5">
        <w:rPr>
          <w:rFonts w:cs="Verdana"/>
          <w:szCs w:val="22"/>
          <w:lang w:val="en-US"/>
        </w:rPr>
        <w:t>Lapuente</w:t>
      </w:r>
      <w:proofErr w:type="spellEnd"/>
      <w:r w:rsidRPr="00015BE5">
        <w:rPr>
          <w:rFonts w:cs="Verdana"/>
          <w:szCs w:val="22"/>
          <w:lang w:val="en-US"/>
        </w:rPr>
        <w:t xml:space="preserve"> – I. </w:t>
      </w:r>
      <w:proofErr w:type="spellStart"/>
      <w:r w:rsidRPr="00015BE5">
        <w:rPr>
          <w:rFonts w:cs="Verdana"/>
          <w:szCs w:val="22"/>
          <w:lang w:val="en-US"/>
        </w:rPr>
        <w:t>Rodà</w:t>
      </w:r>
      <w:proofErr w:type="spellEnd"/>
      <w:r w:rsidRPr="00015BE5">
        <w:rPr>
          <w:rFonts w:cs="Verdana"/>
          <w:szCs w:val="22"/>
          <w:lang w:val="en-US"/>
        </w:rPr>
        <w:t xml:space="preserve"> (Hg.), </w:t>
      </w:r>
      <w:r w:rsidRPr="00015BE5">
        <w:rPr>
          <w:rFonts w:cs="AGaramond-Regular"/>
          <w:szCs w:val="22"/>
          <w:lang w:val="en-US"/>
        </w:rPr>
        <w:t xml:space="preserve">Interdisciplinary studies on ancient stone: proceedings of the </w:t>
      </w:r>
      <w:proofErr w:type="spellStart"/>
      <w:r w:rsidRPr="00015BE5">
        <w:rPr>
          <w:rFonts w:cs="AGaramond-Regular"/>
          <w:szCs w:val="22"/>
          <w:lang w:val="en-US"/>
        </w:rPr>
        <w:t>IX</w:t>
      </w:r>
      <w:r w:rsidRPr="00015BE5">
        <w:rPr>
          <w:rFonts w:cs="AGaramond-Regular"/>
          <w:szCs w:val="22"/>
          <w:vertAlign w:val="superscript"/>
          <w:lang w:val="en-US"/>
        </w:rPr>
        <w:t>th</w:t>
      </w:r>
      <w:proofErr w:type="spellEnd"/>
      <w:r w:rsidRPr="00015BE5">
        <w:rPr>
          <w:rFonts w:cs="AGaramond-Regular"/>
          <w:szCs w:val="22"/>
          <w:vertAlign w:val="superscript"/>
          <w:lang w:val="en-US"/>
        </w:rPr>
        <w:t xml:space="preserve"> </w:t>
      </w:r>
      <w:r w:rsidRPr="00015BE5">
        <w:rPr>
          <w:rFonts w:cs="AGaramond-Regular"/>
          <w:szCs w:val="22"/>
          <w:lang w:val="en-US"/>
        </w:rPr>
        <w:t>ASMOSIA Conference, Tarragona 2009</w:t>
      </w:r>
      <w:r w:rsidRPr="00015BE5">
        <w:rPr>
          <w:rFonts w:cs="Verdana"/>
          <w:szCs w:val="22"/>
          <w:lang w:val="en-US"/>
        </w:rPr>
        <w:t xml:space="preserve"> (Tarragona 2012) 549–561.</w:t>
      </w:r>
      <w:r w:rsidRPr="00015BE5">
        <w:rPr>
          <w:rFonts w:cs="Verdana"/>
          <w:bCs/>
          <w:szCs w:val="22"/>
          <w:lang w:val="en-US"/>
        </w:rPr>
        <w:t xml:space="preserve"> </w:t>
      </w:r>
    </w:p>
    <w:p w14:paraId="707BFC0D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Verdana"/>
          <w:szCs w:val="22"/>
        </w:rPr>
      </w:pPr>
      <w:r w:rsidRPr="00015BE5">
        <w:rPr>
          <w:rFonts w:cs="Verdana"/>
          <w:szCs w:val="22"/>
        </w:rPr>
        <w:t xml:space="preserve">Marmorne Architektur im kaiserzeitlichen </w:t>
      </w:r>
      <w:proofErr w:type="spellStart"/>
      <w:r w:rsidRPr="00015BE5">
        <w:rPr>
          <w:rFonts w:cs="Verdana"/>
          <w:szCs w:val="22"/>
        </w:rPr>
        <w:t>Tomis</w:t>
      </w:r>
      <w:proofErr w:type="spellEnd"/>
      <w:r w:rsidRPr="00015BE5">
        <w:rPr>
          <w:rFonts w:cs="Verdana"/>
          <w:szCs w:val="22"/>
        </w:rPr>
        <w:t xml:space="preserve">. Zur Frage der Marmorwerkstatt, </w:t>
      </w:r>
      <w:proofErr w:type="spellStart"/>
      <w:r w:rsidRPr="00015BE5">
        <w:rPr>
          <w:rFonts w:cs="Verdana"/>
          <w:szCs w:val="22"/>
        </w:rPr>
        <w:t>Caiete</w:t>
      </w:r>
      <w:proofErr w:type="spellEnd"/>
      <w:r w:rsidRPr="00015BE5">
        <w:rPr>
          <w:rFonts w:cs="Verdana"/>
          <w:szCs w:val="22"/>
        </w:rPr>
        <w:t xml:space="preserve"> ARA 2, 2011, 69–78.</w:t>
      </w:r>
    </w:p>
    <w:p w14:paraId="5F817EC6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Verdana"/>
          <w:szCs w:val="22"/>
          <w:lang w:val="fr-FR"/>
        </w:rPr>
      </w:pPr>
      <w:r w:rsidRPr="00015BE5">
        <w:rPr>
          <w:rFonts w:cs="Verdana"/>
          <w:szCs w:val="22"/>
          <w:lang w:val="fr-FR"/>
        </w:rPr>
        <w:t xml:space="preserve">Note de </w:t>
      </w:r>
      <w:proofErr w:type="spellStart"/>
      <w:r w:rsidRPr="00015BE5">
        <w:rPr>
          <w:rFonts w:cs="Verdana"/>
          <w:szCs w:val="22"/>
          <w:lang w:val="fr-FR"/>
        </w:rPr>
        <w:t>topografie</w:t>
      </w:r>
      <w:proofErr w:type="spellEnd"/>
      <w:r w:rsidRPr="00015BE5">
        <w:rPr>
          <w:rFonts w:cs="Verdana"/>
          <w:szCs w:val="22"/>
          <w:lang w:val="fr-FR"/>
        </w:rPr>
        <w:t xml:space="preserve"> </w:t>
      </w:r>
      <w:proofErr w:type="spellStart"/>
      <w:r w:rsidRPr="00015BE5">
        <w:rPr>
          <w:rFonts w:cs="Verdana"/>
          <w:szCs w:val="22"/>
          <w:lang w:val="fr-FR"/>
        </w:rPr>
        <w:t>tomitană</w:t>
      </w:r>
      <w:proofErr w:type="spellEnd"/>
      <w:r w:rsidRPr="00015BE5">
        <w:rPr>
          <w:rFonts w:cs="Verdana"/>
          <w:szCs w:val="22"/>
          <w:lang w:val="fr-FR"/>
        </w:rPr>
        <w:t xml:space="preserve">, </w:t>
      </w:r>
      <w:proofErr w:type="spellStart"/>
      <w:r w:rsidRPr="00015BE5">
        <w:rPr>
          <w:rFonts w:cs="Verdana"/>
          <w:szCs w:val="22"/>
          <w:lang w:val="fr-FR"/>
        </w:rPr>
        <w:t>Caiete</w:t>
      </w:r>
      <w:proofErr w:type="spellEnd"/>
      <w:r w:rsidRPr="00015BE5">
        <w:rPr>
          <w:rFonts w:cs="Verdana"/>
          <w:szCs w:val="22"/>
          <w:lang w:val="fr-FR"/>
        </w:rPr>
        <w:t xml:space="preserve"> ARA 1, 2010, 53–74.</w:t>
      </w:r>
    </w:p>
    <w:p w14:paraId="05E95C1B" w14:textId="77777777" w:rsidR="00D84418" w:rsidRPr="00015BE5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/>
        <w:ind w:left="360"/>
        <w:jc w:val="both"/>
        <w:rPr>
          <w:rFonts w:cs="Verdana"/>
          <w:szCs w:val="22"/>
        </w:rPr>
      </w:pPr>
      <w:r w:rsidRPr="00015BE5">
        <w:rPr>
          <w:szCs w:val="22"/>
        </w:rPr>
        <w:t xml:space="preserve">Römische korinthische Kapitelle aus </w:t>
      </w:r>
      <w:proofErr w:type="spellStart"/>
      <w:r w:rsidRPr="00015BE5">
        <w:rPr>
          <w:szCs w:val="22"/>
        </w:rPr>
        <w:t>Tomis</w:t>
      </w:r>
      <w:proofErr w:type="spellEnd"/>
      <w:r w:rsidRPr="00015BE5">
        <w:rPr>
          <w:szCs w:val="22"/>
        </w:rPr>
        <w:t xml:space="preserve">, Dacia </w:t>
      </w:r>
      <w:r w:rsidRPr="00015BE5">
        <w:rPr>
          <w:rFonts w:cs="Verdana"/>
          <w:szCs w:val="22"/>
        </w:rPr>
        <w:t>N.S. 53, 2009, 89–105.</w:t>
      </w:r>
    </w:p>
    <w:p w14:paraId="647F3A0B" w14:textId="77777777" w:rsidR="00D84418" w:rsidRPr="00363D8A" w:rsidRDefault="00D84418" w:rsidP="00D84418">
      <w:pPr>
        <w:pStyle w:val="Listenabsatz"/>
        <w:numPr>
          <w:ilvl w:val="0"/>
          <w:numId w:val="1"/>
        </w:numPr>
        <w:spacing w:before="120" w:after="60"/>
        <w:ind w:left="360"/>
        <w:jc w:val="both"/>
        <w:rPr>
          <w:szCs w:val="22"/>
        </w:rPr>
      </w:pPr>
      <w:proofErr w:type="spellStart"/>
      <w:r w:rsidRPr="003A2ABA">
        <w:rPr>
          <w:szCs w:val="22"/>
          <w:lang w:val="en-US"/>
        </w:rPr>
        <w:t>Capiteluri</w:t>
      </w:r>
      <w:proofErr w:type="spellEnd"/>
      <w:r w:rsidRPr="003A2ABA">
        <w:rPr>
          <w:szCs w:val="22"/>
          <w:lang w:val="en-US"/>
        </w:rPr>
        <w:t xml:space="preserve"> </w:t>
      </w:r>
      <w:proofErr w:type="spellStart"/>
      <w:r w:rsidRPr="003A2ABA">
        <w:rPr>
          <w:szCs w:val="22"/>
          <w:lang w:val="en-US"/>
        </w:rPr>
        <w:t>corintice</w:t>
      </w:r>
      <w:proofErr w:type="spellEnd"/>
      <w:r w:rsidRPr="003A2ABA">
        <w:rPr>
          <w:szCs w:val="22"/>
          <w:lang w:val="en-US"/>
        </w:rPr>
        <w:t xml:space="preserve"> </w:t>
      </w:r>
      <w:proofErr w:type="spellStart"/>
      <w:r w:rsidRPr="003A2ABA">
        <w:rPr>
          <w:szCs w:val="22"/>
          <w:lang w:val="en-US"/>
        </w:rPr>
        <w:t>romane</w:t>
      </w:r>
      <w:proofErr w:type="spellEnd"/>
      <w:r w:rsidRPr="003A2ABA">
        <w:rPr>
          <w:szCs w:val="22"/>
          <w:lang w:val="en-US"/>
        </w:rPr>
        <w:t xml:space="preserve"> de la </w:t>
      </w:r>
      <w:proofErr w:type="spellStart"/>
      <w:r w:rsidRPr="003A2ABA">
        <w:rPr>
          <w:szCs w:val="22"/>
          <w:lang w:val="en-US"/>
        </w:rPr>
        <w:t>Tomis</w:t>
      </w:r>
      <w:proofErr w:type="spellEnd"/>
      <w:r w:rsidRPr="003A2ABA">
        <w:rPr>
          <w:szCs w:val="22"/>
          <w:lang w:val="en-US"/>
        </w:rPr>
        <w:t xml:space="preserve">. </w:t>
      </w:r>
      <w:proofErr w:type="spellStart"/>
      <w:r w:rsidRPr="00015BE5">
        <w:rPr>
          <w:szCs w:val="22"/>
        </w:rPr>
        <w:t>Grupul</w:t>
      </w:r>
      <w:proofErr w:type="spellEnd"/>
      <w:r w:rsidRPr="00015BE5">
        <w:rPr>
          <w:szCs w:val="22"/>
        </w:rPr>
        <w:t xml:space="preserve"> de </w:t>
      </w:r>
      <w:proofErr w:type="spellStart"/>
      <w:r w:rsidRPr="00015BE5">
        <w:rPr>
          <w:szCs w:val="22"/>
        </w:rPr>
        <w:t>capiteluri</w:t>
      </w:r>
      <w:proofErr w:type="spellEnd"/>
      <w:r w:rsidRPr="00015BE5">
        <w:rPr>
          <w:szCs w:val="22"/>
        </w:rPr>
        <w:t xml:space="preserve"> ‘</w:t>
      </w:r>
      <w:proofErr w:type="spellStart"/>
      <w:r w:rsidRPr="00015BE5">
        <w:rPr>
          <w:szCs w:val="22"/>
        </w:rPr>
        <w:t>serviliene</w:t>
      </w:r>
      <w:proofErr w:type="spellEnd"/>
      <w:r w:rsidRPr="00015BE5">
        <w:rPr>
          <w:szCs w:val="22"/>
        </w:rPr>
        <w:t>’,</w:t>
      </w:r>
      <w:r w:rsidRPr="00015BE5">
        <w:rPr>
          <w:spacing w:val="-14"/>
          <w:szCs w:val="22"/>
        </w:rPr>
        <w:t xml:space="preserve"> </w:t>
      </w:r>
      <w:proofErr w:type="spellStart"/>
      <w:r w:rsidRPr="00015BE5">
        <w:rPr>
          <w:spacing w:val="-14"/>
          <w:szCs w:val="22"/>
        </w:rPr>
        <w:t>Peuce</w:t>
      </w:r>
      <w:proofErr w:type="spellEnd"/>
      <w:r w:rsidRPr="00015BE5">
        <w:rPr>
          <w:spacing w:val="-14"/>
          <w:szCs w:val="22"/>
        </w:rPr>
        <w:t xml:space="preserve"> 15, 2004, 73–94.</w:t>
      </w:r>
    </w:p>
    <w:p w14:paraId="7FE2A7B6" w14:textId="77777777" w:rsidR="00D84418" w:rsidRPr="00C16100" w:rsidRDefault="00D84418" w:rsidP="00D84418">
      <w:pPr>
        <w:pStyle w:val="berschrift3"/>
        <w:rPr>
          <w:rFonts w:cs="Times New Roman (Überschriften"/>
        </w:rPr>
      </w:pPr>
      <w:r>
        <w:t>Rezensionen</w:t>
      </w:r>
    </w:p>
    <w:p w14:paraId="3548EAA7" w14:textId="77777777" w:rsidR="00D84418" w:rsidRPr="00363D8A" w:rsidRDefault="00D84418" w:rsidP="00D84418">
      <w:pPr>
        <w:pStyle w:val="Listenabsatz"/>
        <w:numPr>
          <w:ilvl w:val="0"/>
          <w:numId w:val="1"/>
        </w:numPr>
        <w:spacing w:before="120" w:after="60"/>
        <w:ind w:left="360"/>
        <w:jc w:val="both"/>
        <w:rPr>
          <w:szCs w:val="21"/>
          <w:lang w:val="en-US"/>
        </w:rPr>
      </w:pPr>
      <w:r>
        <w:t xml:space="preserve">Tradition und Rezeption. Zur Entwicklung des ionischen Kapitells im kaiserzeitlichen </w:t>
      </w:r>
      <w:proofErr w:type="spellStart"/>
      <w:r>
        <w:t>Hierapolis</w:t>
      </w:r>
      <w:proofErr w:type="spellEnd"/>
      <w:r>
        <w:t xml:space="preserve"> (Phrygien), JRA 35, 2022, 522–529– </w:t>
      </w:r>
      <w:proofErr w:type="spellStart"/>
      <w:r>
        <w:t>Rez</w:t>
      </w:r>
      <w:proofErr w:type="spellEnd"/>
      <w:r>
        <w:t xml:space="preserve">. S. Bozza 2020. </w:t>
      </w:r>
      <w:proofErr w:type="spellStart"/>
      <w:r w:rsidRPr="00AB05F1">
        <w:rPr>
          <w:lang w:val="en-US"/>
        </w:rPr>
        <w:t>Architettura</w:t>
      </w:r>
      <w:proofErr w:type="spellEnd"/>
      <w:r w:rsidRPr="00AB05F1">
        <w:rPr>
          <w:lang w:val="en-US"/>
        </w:rPr>
        <w:t xml:space="preserve"> </w:t>
      </w:r>
      <w:proofErr w:type="spellStart"/>
      <w:r w:rsidRPr="00AB05F1">
        <w:rPr>
          <w:lang w:val="en-US"/>
        </w:rPr>
        <w:t>ionica</w:t>
      </w:r>
      <w:proofErr w:type="spellEnd"/>
      <w:r w:rsidRPr="00AB05F1">
        <w:rPr>
          <w:lang w:val="en-US"/>
        </w:rPr>
        <w:t xml:space="preserve"> a Hierapolis di </w:t>
      </w:r>
      <w:proofErr w:type="spellStart"/>
      <w:r w:rsidRPr="00AB05F1">
        <w:rPr>
          <w:lang w:val="en-US"/>
        </w:rPr>
        <w:t>Frigia</w:t>
      </w:r>
      <w:proofErr w:type="spellEnd"/>
      <w:r w:rsidRPr="00AB05F1">
        <w:rPr>
          <w:lang w:val="en-US"/>
        </w:rPr>
        <w:t xml:space="preserve">. Hierapolis di </w:t>
      </w:r>
      <w:proofErr w:type="spellStart"/>
      <w:r w:rsidRPr="00AB05F1">
        <w:rPr>
          <w:lang w:val="en-US"/>
        </w:rPr>
        <w:t>Frigia</w:t>
      </w:r>
      <w:proofErr w:type="spellEnd"/>
      <w:r w:rsidRPr="00AB05F1">
        <w:rPr>
          <w:lang w:val="en-US"/>
        </w:rPr>
        <w:t xml:space="preserve"> 14. Istanbul: </w:t>
      </w:r>
      <w:proofErr w:type="spellStart"/>
      <w:r w:rsidRPr="00AB05F1">
        <w:rPr>
          <w:lang w:val="en-US"/>
        </w:rPr>
        <w:t>Ege</w:t>
      </w:r>
      <w:proofErr w:type="spellEnd"/>
      <w:r w:rsidRPr="00AB05F1">
        <w:rPr>
          <w:lang w:val="en-US"/>
        </w:rPr>
        <w:t xml:space="preserve"> </w:t>
      </w:r>
      <w:proofErr w:type="spellStart"/>
      <w:r w:rsidRPr="00AB05F1">
        <w:rPr>
          <w:lang w:val="en-US"/>
        </w:rPr>
        <w:t>Yayınları</w:t>
      </w:r>
      <w:proofErr w:type="spellEnd"/>
      <w:r w:rsidRPr="00AB05F1">
        <w:rPr>
          <w:lang w:val="en-US"/>
        </w:rPr>
        <w:t xml:space="preserve">. </w:t>
      </w:r>
      <w:r>
        <w:t>Pp. XXIII + 389, Illustrationen, Pläne. ISBN 978-605-7673-37-4</w:t>
      </w:r>
    </w:p>
    <w:p w14:paraId="495ED3F8" w14:textId="77777777" w:rsidR="00D84418" w:rsidRPr="00015BE5" w:rsidRDefault="00D84418" w:rsidP="00D84418">
      <w:pPr>
        <w:pStyle w:val="berschrift3"/>
      </w:pPr>
      <w:r w:rsidRPr="00015BE5">
        <w:t>Populärwissenschaftliche Publikationen</w:t>
      </w:r>
    </w:p>
    <w:p w14:paraId="55F6BFFD" w14:textId="77777777" w:rsidR="00D84418" w:rsidRPr="000270AE" w:rsidRDefault="00D84418" w:rsidP="00D84418">
      <w:pPr>
        <w:pStyle w:val="Listenabsatz"/>
        <w:numPr>
          <w:ilvl w:val="0"/>
          <w:numId w:val="1"/>
        </w:numPr>
        <w:spacing w:before="120" w:after="60"/>
        <w:ind w:left="360"/>
        <w:jc w:val="both"/>
      </w:pPr>
      <w:proofErr w:type="spellStart"/>
      <w:r w:rsidRPr="00015BE5">
        <w:rPr>
          <w:szCs w:val="22"/>
        </w:rPr>
        <w:t>Roșia</w:t>
      </w:r>
      <w:proofErr w:type="spellEnd"/>
      <w:r w:rsidRPr="00015BE5">
        <w:rPr>
          <w:szCs w:val="22"/>
        </w:rPr>
        <w:t xml:space="preserve">, </w:t>
      </w:r>
      <w:proofErr w:type="spellStart"/>
      <w:r w:rsidRPr="00015BE5">
        <w:rPr>
          <w:szCs w:val="22"/>
        </w:rPr>
        <w:t>Roșia</w:t>
      </w:r>
      <w:proofErr w:type="spellEnd"/>
      <w:r w:rsidRPr="00015BE5">
        <w:rPr>
          <w:szCs w:val="22"/>
        </w:rPr>
        <w:t xml:space="preserve">, die Revolution kommt. </w:t>
      </w:r>
      <w:r w:rsidRPr="000270AE">
        <w:t xml:space="preserve">Die friedliche Revolution einer Generation, Deutsch-rumänische Hefte 2014/1, 4–6. (http://deruge.org/DR-Hefte/2014/DRH_1_2014_neu. </w:t>
      </w:r>
      <w:proofErr w:type="spellStart"/>
      <w:r w:rsidRPr="000270AE">
        <w:t>pdf</w:t>
      </w:r>
      <w:proofErr w:type="spellEnd"/>
      <w:r w:rsidRPr="000270AE">
        <w:t xml:space="preserve">) (mit H. </w:t>
      </w:r>
      <w:proofErr w:type="spellStart"/>
      <w:r w:rsidRPr="000270AE">
        <w:t>Jorgowitz</w:t>
      </w:r>
      <w:proofErr w:type="spellEnd"/>
      <w:r w:rsidRPr="000270AE">
        <w:t xml:space="preserve">) </w:t>
      </w:r>
    </w:p>
    <w:p w14:paraId="76302027" w14:textId="77777777" w:rsidR="00D84418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80"/>
        <w:ind w:left="360"/>
        <w:contextualSpacing w:val="0"/>
        <w:jc w:val="both"/>
        <w:rPr>
          <w:szCs w:val="22"/>
        </w:rPr>
      </w:pPr>
      <w:r w:rsidRPr="00015BE5">
        <w:rPr>
          <w:szCs w:val="22"/>
        </w:rPr>
        <w:t>Das LICHT holen und Ostereier-Stoßen. Ostern in Rumänien, in R. Vollkommer (</w:t>
      </w:r>
      <w:proofErr w:type="spellStart"/>
      <w:r w:rsidRPr="00015BE5">
        <w:rPr>
          <w:szCs w:val="22"/>
        </w:rPr>
        <w:t>Hg</w:t>
      </w:r>
      <w:proofErr w:type="spellEnd"/>
      <w:r w:rsidRPr="00015BE5">
        <w:rPr>
          <w:szCs w:val="22"/>
        </w:rPr>
        <w:t xml:space="preserve">.) Ostereier zwischen Kult und Kunst. Aus der Sammlung </w:t>
      </w:r>
      <w:proofErr w:type="spellStart"/>
      <w:r w:rsidRPr="00015BE5">
        <w:rPr>
          <w:szCs w:val="22"/>
        </w:rPr>
        <w:t>Adulf</w:t>
      </w:r>
      <w:proofErr w:type="spellEnd"/>
      <w:r w:rsidRPr="00015BE5">
        <w:rPr>
          <w:szCs w:val="22"/>
        </w:rPr>
        <w:t xml:space="preserve"> Peter </w:t>
      </w:r>
      <w:proofErr w:type="spellStart"/>
      <w:r w:rsidRPr="00015BE5">
        <w:rPr>
          <w:szCs w:val="22"/>
        </w:rPr>
        <w:t>Goop</w:t>
      </w:r>
      <w:proofErr w:type="spellEnd"/>
      <w:r w:rsidRPr="00015BE5">
        <w:rPr>
          <w:szCs w:val="22"/>
        </w:rPr>
        <w:t xml:space="preserve">. Eine Ausstellung des Liechtensteinischen Landesmuseums im Winckelmann-Museum Stendal (Mainz 2014) 109–114. </w:t>
      </w:r>
    </w:p>
    <w:p w14:paraId="2F4E70CE" w14:textId="77777777" w:rsidR="00D84418" w:rsidRPr="004F028C" w:rsidRDefault="00D84418" w:rsidP="00D8441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before="80"/>
        <w:ind w:left="360"/>
        <w:contextualSpacing w:val="0"/>
        <w:jc w:val="both"/>
        <w:rPr>
          <w:szCs w:val="22"/>
          <w:lang w:val="en-US"/>
        </w:rPr>
      </w:pPr>
      <w:r w:rsidRPr="00FB1AA6">
        <w:rPr>
          <w:lang w:val="en-US"/>
        </w:rPr>
        <w:lastRenderedPageBreak/>
        <w:t>History-</w:t>
      </w:r>
      <w:proofErr w:type="spellStart"/>
      <w:r w:rsidRPr="00FB1AA6">
        <w:rPr>
          <w:lang w:val="en-US"/>
        </w:rPr>
        <w:t>ganda</w:t>
      </w:r>
      <w:proofErr w:type="spellEnd"/>
      <w:r w:rsidRPr="00FB1AA6">
        <w:rPr>
          <w:lang w:val="en-US"/>
        </w:rPr>
        <w:t>, Carnival. Journal of the International Students of History Association, 2000/2, Issue 35, 27–31. (http://www.marburg2010.isha-international.org/downloads/ carnival/ ISHA_Carnival_2000-3.</w:t>
      </w:r>
    </w:p>
    <w:p w14:paraId="6F4A533E" w14:textId="77777777" w:rsidR="00D84418" w:rsidRPr="00CB34F8" w:rsidRDefault="00D84418" w:rsidP="00D84418">
      <w:pPr>
        <w:rPr>
          <w:lang w:val="en-US"/>
        </w:rPr>
      </w:pPr>
    </w:p>
    <w:p w14:paraId="497649B6" w14:textId="77777777" w:rsidR="008E1383" w:rsidRPr="00D84418" w:rsidRDefault="008E1383">
      <w:pPr>
        <w:rPr>
          <w:lang w:val="en-US"/>
        </w:rPr>
      </w:pPr>
    </w:p>
    <w:sectPr w:rsidR="008E1383" w:rsidRPr="00D8441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4BFB" w14:textId="77777777" w:rsidR="0053152B" w:rsidRDefault="0053152B" w:rsidP="00D84418">
      <w:pPr>
        <w:spacing w:line="240" w:lineRule="auto"/>
      </w:pPr>
      <w:r>
        <w:separator/>
      </w:r>
    </w:p>
  </w:endnote>
  <w:endnote w:type="continuationSeparator" w:id="0">
    <w:p w14:paraId="310E394A" w14:textId="77777777" w:rsidR="0053152B" w:rsidRDefault="0053152B" w:rsidP="00D84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ramond-Regular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Ô'B3ò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AD82" w14:textId="77777777" w:rsidR="0053152B" w:rsidRDefault="0053152B" w:rsidP="00D84418">
      <w:pPr>
        <w:spacing w:line="240" w:lineRule="auto"/>
      </w:pPr>
      <w:r>
        <w:separator/>
      </w:r>
    </w:p>
  </w:footnote>
  <w:footnote w:type="continuationSeparator" w:id="0">
    <w:p w14:paraId="3978E857" w14:textId="77777777" w:rsidR="0053152B" w:rsidRDefault="0053152B" w:rsidP="00D844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43B8" w14:textId="1C9D6EBE" w:rsidR="00D84418" w:rsidRDefault="00D84418">
    <w:pPr>
      <w:pStyle w:val="Kopfzeile"/>
    </w:pPr>
    <w:r>
      <w:t>Dr. Natalia Toma</w:t>
    </w:r>
    <w:r>
      <w:tab/>
    </w:r>
    <w: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82BDD"/>
    <w:multiLevelType w:val="hybridMultilevel"/>
    <w:tmpl w:val="0F082C6E"/>
    <w:lvl w:ilvl="0" w:tplc="BEAA1358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 (Textkörper CS)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757FFB"/>
    <w:multiLevelType w:val="hybridMultilevel"/>
    <w:tmpl w:val="C8A28D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056560">
    <w:abstractNumId w:val="1"/>
  </w:num>
  <w:num w:numId="2" w16cid:durableId="14720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18"/>
    <w:rsid w:val="0053152B"/>
    <w:rsid w:val="008E1383"/>
    <w:rsid w:val="00D84418"/>
    <w:rsid w:val="00DE5EFF"/>
    <w:rsid w:val="00E4048A"/>
    <w:rsid w:val="00E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ADE7C"/>
  <w15:chartTrackingRefBased/>
  <w15:docId w15:val="{7E0B373C-ED47-5345-BC3E-00F664A5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418"/>
    <w:pPr>
      <w:spacing w:line="360" w:lineRule="auto"/>
    </w:pPr>
  </w:style>
  <w:style w:type="paragraph" w:styleId="berschrift2">
    <w:name w:val="heading 2"/>
    <w:next w:val="Standard"/>
    <w:link w:val="berschrift2Zchn"/>
    <w:autoRedefine/>
    <w:qFormat/>
    <w:rsid w:val="00D84418"/>
    <w:pPr>
      <w:keepNext/>
      <w:keepLines/>
      <w:spacing w:before="240" w:after="80" w:line="360" w:lineRule="auto"/>
      <w:outlineLvl w:val="1"/>
    </w:pPr>
    <w:rPr>
      <w:rFonts w:ascii="Times New Roman" w:eastAsiaTheme="minorEastAsia" w:hAnsi="Times New Roman" w:cs="Times New Roman"/>
      <w:b/>
      <w:bCs/>
      <w:smallCaps/>
      <w:kern w:val="0"/>
      <w:sz w:val="22"/>
      <w:szCs w:val="26"/>
      <w:lang w:eastAsia="ja-JP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4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84418"/>
    <w:rPr>
      <w:rFonts w:ascii="Times New Roman" w:eastAsiaTheme="minorEastAsia" w:hAnsi="Times New Roman" w:cs="Times New Roman"/>
      <w:b/>
      <w:bCs/>
      <w:smallCaps/>
      <w:kern w:val="0"/>
      <w:sz w:val="22"/>
      <w:szCs w:val="26"/>
      <w:lang w:eastAsia="ja-JP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4418"/>
    <w:rPr>
      <w:rFonts w:asciiTheme="majorHAnsi" w:eastAsiaTheme="majorEastAsia" w:hAnsiTheme="majorHAnsi" w:cstheme="majorBidi"/>
      <w:color w:val="000000" w:themeColor="text1"/>
    </w:rPr>
  </w:style>
  <w:style w:type="paragraph" w:styleId="Listenabsatz">
    <w:name w:val="List Paragraph"/>
    <w:basedOn w:val="Standard"/>
    <w:uiPriority w:val="34"/>
    <w:qFormat/>
    <w:rsid w:val="00D844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441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418"/>
  </w:style>
  <w:style w:type="paragraph" w:styleId="Fuzeile">
    <w:name w:val="footer"/>
    <w:basedOn w:val="Standard"/>
    <w:link w:val="FuzeileZchn"/>
    <w:uiPriority w:val="99"/>
    <w:unhideWhenUsed/>
    <w:rsid w:val="00D8441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jk56qulu</dc:creator>
  <cp:keywords/>
  <dc:description/>
  <cp:lastModifiedBy>jk56qulu</cp:lastModifiedBy>
  <cp:revision>1</cp:revision>
  <dcterms:created xsi:type="dcterms:W3CDTF">2023-06-29T12:51:00Z</dcterms:created>
  <dcterms:modified xsi:type="dcterms:W3CDTF">2023-06-29T12:52:00Z</dcterms:modified>
</cp:coreProperties>
</file>